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 </w:t>
      </w:r>
      <w:r w:rsidDel="00000000" w:rsidR="00000000" w:rsidRPr="00000000">
        <w:rPr>
          <w:rFonts w:ascii="Calibri" w:cs="Calibri" w:eastAsia="Calibri" w:hAnsi="Calibri"/>
          <w:b w:val="1"/>
          <w:rtl w:val="0"/>
        </w:rPr>
        <w:t xml:space="preserve">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 sídlem XXXXXXXX</w:t>
      </w:r>
    </w:p>
    <w:p w:rsidR="00000000" w:rsidDel="00000000" w:rsidP="00000000" w:rsidRDefault="00000000" w:rsidRPr="00000000" w14:paraId="00000010">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zastoupená: XXXXXXXX </w:t>
      </w:r>
    </w:p>
    <w:p w:rsidR="00000000" w:rsidDel="00000000" w:rsidP="00000000" w:rsidRDefault="00000000" w:rsidRPr="00000000" w14:paraId="00000012">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p>
    <w:p w:rsidR="00000000" w:rsidDel="00000000" w:rsidP="00000000" w:rsidRDefault="00000000" w:rsidRPr="00000000" w14:paraId="00000014">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číslo účtu: XXXXXXXX</w:t>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proto poskytovatel vydává toto Rozhodnutí. Veškeré pojmy použité v Rozhodnutí definujeme ve Všeobecných podmínkách.</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A">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B">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Účelem podpory je provádění činností výzkumu, vývoje a inovací nebo činností souvisejících, jež efektivně směřují k dosažení cílů projektu dle pravidel poskytnutí podpory.</w:t>
      </w:r>
      <w:r w:rsidDel="00000000" w:rsidR="00000000" w:rsidRPr="00000000">
        <w:rPr>
          <w:rtl w:val="0"/>
        </w:rPr>
      </w:r>
    </w:p>
    <w:p w:rsidR="00000000" w:rsidDel="00000000" w:rsidP="00000000" w:rsidRDefault="00000000" w:rsidRPr="00000000" w14:paraId="0000001C">
      <w:pPr>
        <w:numPr>
          <w:ilvl w:val="0"/>
          <w:numId w:val="6"/>
        </w:numPr>
        <w:ind w:left="360" w:hanging="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Podporu poskytneme formou zvýšení výdajů organizační složky státu, která je příjemcem, ve smyslu § 4 odst. 1 ZPVV</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1F">
      <w:pPr>
        <w:numPr>
          <w:ilvl w:val="0"/>
          <w:numId w:val="5"/>
        </w:numPr>
        <w:ind w:left="360" w:hanging="360"/>
        <w:rPr/>
      </w:pPr>
      <w:r w:rsidDel="00000000" w:rsidR="00000000" w:rsidRPr="00000000">
        <w:rPr>
          <w:rFonts w:ascii="Calibri" w:cs="Calibri" w:eastAsia="Calibri" w:hAnsi="Calibri"/>
          <w:rtl w:val="0"/>
        </w:rPr>
        <w:t xml:space="preserve">Maximální výše podpory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0">
      <w:pPr>
        <w:numPr>
          <w:ilvl w:val="0"/>
          <w:numId w:val="5"/>
        </w:numPr>
        <w:ind w:left="360" w:hanging="360"/>
        <w:rPr/>
      </w:pPr>
      <w:r w:rsidDel="00000000" w:rsidR="00000000" w:rsidRPr="00000000">
        <w:rPr>
          <w:rFonts w:ascii="Calibri" w:cs="Calibri" w:eastAsia="Calibri" w:hAnsi="Calibri"/>
          <w:rtl w:val="0"/>
        </w:rPr>
        <w:t xml:space="preserve">Maximální výše uznaných nákladů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w:t>
      </w:r>
      <w:r w:rsidDel="00000000" w:rsidR="00000000" w:rsidRPr="00000000">
        <w:rPr>
          <w:rtl w:val="0"/>
        </w:rPr>
      </w:r>
    </w:p>
    <w:p w:rsidR="00000000" w:rsidDel="00000000" w:rsidP="00000000" w:rsidRDefault="00000000" w:rsidRPr="00000000" w14:paraId="00000021">
      <w:pPr>
        <w:numPr>
          <w:ilvl w:val="0"/>
          <w:numId w:val="5"/>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2">
      <w:pPr>
        <w:numPr>
          <w:ilvl w:val="0"/>
          <w:numId w:val="5"/>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podpory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3">
      <w:pPr>
        <w:numPr>
          <w:ilvl w:val="0"/>
          <w:numId w:val="5"/>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uznaných nákladů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2"/>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termín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8">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nidksuob350" w:id="0"/>
    <w:bookmarkEnd w:id="0"/>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B">
      <w:pPr>
        <w:numPr>
          <w:ilvl w:val="0"/>
          <w:numId w:val="4"/>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C">
      <w:pPr>
        <w:numPr>
          <w:ilvl w:val="0"/>
          <w:numId w:val="4"/>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D">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E">
      <w:pPr>
        <w:numPr>
          <w:ilvl w:val="0"/>
          <w:numId w:val="4"/>
        </w:numPr>
        <w:spacing w:after="240" w:before="240" w:lineRule="auto"/>
        <w:ind w:left="425" w:hanging="425"/>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2F">
      <w:pPr>
        <w:keepNext w:val="1"/>
        <w:keepLines w:val="1"/>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 Smlouvu lze vypovědět také v případě, že z důvodu neuzavření konsorciální smlouvy odstoupí Sekretariát výzvy od podpoření projektu.</w:t>
      </w:r>
      <w:r w:rsidDel="00000000" w:rsidR="00000000" w:rsidRPr="00000000">
        <w:rPr>
          <w:rtl w:val="0"/>
        </w:rPr>
      </w:r>
    </w:p>
    <w:p w:rsidR="00000000" w:rsidDel="00000000" w:rsidP="00000000" w:rsidRDefault="00000000" w:rsidRPr="00000000" w14:paraId="00000030">
      <w:pPr>
        <w:numPr>
          <w:ilvl w:val="0"/>
          <w:numId w:val="4"/>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1">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českém nebo anglickém jazyce.“</w:t>
      </w:r>
    </w:p>
    <w:p w:rsidR="00000000" w:rsidDel="00000000" w:rsidP="00000000" w:rsidRDefault="00000000" w:rsidRPr="00000000" w14:paraId="00000032">
      <w:pPr>
        <w:numPr>
          <w:ilvl w:val="0"/>
          <w:numId w:val="4"/>
        </w:numPr>
        <w:ind w:left="425" w:hanging="425"/>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3">
      <w:pP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4">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r w:rsidDel="00000000" w:rsidR="00000000" w:rsidRPr="00000000">
        <w:rPr>
          <w:rtl w:val="0"/>
        </w:rPr>
      </w:r>
    </w:p>
    <w:p w:rsidR="00000000" w:rsidDel="00000000" w:rsidP="00000000" w:rsidRDefault="00000000" w:rsidRPr="00000000" w14:paraId="00000035">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projektu, v souladu se zásadou, že výsledky výzkumu a výzkumná data nejsou zveřejňovány pouze v odůvodněných případech.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6">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hlavní příjemce povinen zajistit dlouhodobý bezplatný on-line přístup pro jakéhokoliv uživatele k výzkumným datům projektu a ke všem výstupům/výsledkům druhů  J, N a Vsouhrn, bez ohledu na to, zda vzniknou jako výsledky plánované či nad rámec. Výstup/výsledek a data musí být opatřeny perzistentním identifikátorem.</w:t>
      </w:r>
      <w:r w:rsidDel="00000000" w:rsidR="00000000" w:rsidRPr="00000000">
        <w:rPr>
          <w:rtl w:val="0"/>
        </w:rPr>
      </w:r>
    </w:p>
    <w:p w:rsidR="00000000" w:rsidDel="00000000" w:rsidP="00000000" w:rsidRDefault="00000000" w:rsidRPr="00000000" w14:paraId="00000037">
      <w:pPr>
        <w:numPr>
          <w:ilvl w:val="0"/>
          <w:numId w:val="4"/>
        </w:numPr>
        <w:spacing w:line="276" w:lineRule="auto"/>
        <w:ind w:left="425" w:right="566" w:hanging="425"/>
        <w:rPr/>
      </w:pPr>
      <w:r w:rsidDel="00000000" w:rsidR="00000000" w:rsidRPr="00000000">
        <w:rPr>
          <w:rFonts w:ascii="Calibri" w:cs="Calibri" w:eastAsia="Calibri" w:hAnsi="Calibri"/>
          <w:rtl w:val="0"/>
        </w:rPr>
        <w:t xml:space="preserve">Nad rámec Všeobecných podmínek mají příjemci povinnost zajistit naplnění požadavků týkajících se otevřeného přístupu uvedených v dokumentu Výzkumná data a otevřený přístup k výstupům/výsledkům.</w:t>
      </w:r>
      <w:r w:rsidDel="00000000" w:rsidR="00000000" w:rsidRPr="00000000">
        <w:rPr>
          <w:rtl w:val="0"/>
        </w:rPr>
      </w:r>
    </w:p>
    <w:p w:rsidR="00000000" w:rsidDel="00000000" w:rsidP="00000000" w:rsidRDefault="00000000" w:rsidRPr="00000000" w14:paraId="00000038">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Konkrétně příjemci musí</w:t>
      </w:r>
    </w:p>
    <w:p w:rsidR="00000000" w:rsidDel="00000000" w:rsidP="00000000" w:rsidRDefault="00000000" w:rsidRPr="00000000" w14:paraId="00000039">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uložit strojově čitelnou finální verzi textu výstupu/výsledku anebo výzkumných dat do repozitáře a </w:t>
      </w:r>
    </w:p>
    <w:p w:rsidR="00000000" w:rsidDel="00000000" w:rsidP="00000000" w:rsidRDefault="00000000" w:rsidRPr="00000000" w14:paraId="0000003A">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w:t>
      </w:r>
    </w:p>
    <w:p w:rsidR="00000000" w:rsidDel="00000000" w:rsidP="00000000" w:rsidRDefault="00000000" w:rsidRPr="00000000" w14:paraId="0000003B">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Nezveřejnění dat, popř. omezení přístupu, musí příjemce uvést a odůvodnit v Plánu správy dat. Porušení výše uvedených povinností hlavním příjemcem má za následek vznik povinnosti uhradit smluvní pokutu ve výši 5 000 Kč za každé takové jednotlivé porušení. </w:t>
      </w:r>
    </w:p>
    <w:p w:rsidR="00000000" w:rsidDel="00000000" w:rsidP="00000000" w:rsidRDefault="00000000" w:rsidRPr="00000000" w14:paraId="0000003C">
      <w:pPr>
        <w:numPr>
          <w:ilvl w:val="0"/>
          <w:numId w:val="4"/>
        </w:numPr>
        <w:ind w:left="425" w:right="566" w:hanging="425"/>
        <w:rPr/>
      </w:pPr>
      <w:r w:rsidDel="00000000" w:rsidR="00000000" w:rsidRPr="00000000">
        <w:rPr>
          <w:rFonts w:ascii="Calibri" w:cs="Calibri" w:eastAsia="Calibri" w:hAnsi="Calibri"/>
          <w:rtl w:val="0"/>
        </w:rPr>
        <w:t xml:space="preserve">Hlavní příjemce a další účastníci projektu nejsou povinni zpřístupnit výzkumná data (projektu či konkrétního výsledku), pokud by jejich zpřístupněním došlo k nepřiměřenému zásahu do: </w:t>
      </w:r>
      <w:r w:rsidDel="00000000" w:rsidR="00000000" w:rsidRPr="00000000">
        <w:rPr>
          <w:rtl w:val="0"/>
        </w:rPr>
      </w:r>
    </w:p>
    <w:p w:rsidR="00000000" w:rsidDel="00000000" w:rsidP="00000000" w:rsidRDefault="00000000" w:rsidRPr="00000000" w14:paraId="0000003D">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práva na ochranu duševního vlastnictví, </w:t>
      </w:r>
    </w:p>
    <w:p w:rsidR="00000000" w:rsidDel="00000000" w:rsidP="00000000" w:rsidRDefault="00000000" w:rsidRPr="00000000" w14:paraId="0000003E">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práva na ochranu soukromí a osobních údajů či </w:t>
      </w:r>
    </w:p>
    <w:p w:rsidR="00000000" w:rsidDel="00000000" w:rsidP="00000000" w:rsidRDefault="00000000" w:rsidRPr="00000000" w14:paraId="0000003F">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c. práva na ochranu obchodního tajemství, bezpečnosti státu nebo jiných oprávněných zájmů příjemce (např. v případě možnosti obchodního využití). </w:t>
      </w:r>
    </w:p>
    <w:p w:rsidR="00000000" w:rsidDel="00000000" w:rsidP="00000000" w:rsidRDefault="00000000" w:rsidRPr="00000000" w14:paraId="00000040">
      <w:pPr>
        <w:numPr>
          <w:ilvl w:val="0"/>
          <w:numId w:val="4"/>
        </w:numPr>
        <w:ind w:left="425" w:right="566" w:hanging="425"/>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na základě kterých bude možné ověřit, že jsou výstupy/výsledky a výzkumná data otevřeně přístupná dle výše uvedených podmínek.</w:t>
      </w:r>
      <w:r w:rsidDel="00000000" w:rsidR="00000000" w:rsidRPr="00000000">
        <w:rPr>
          <w:rtl w:val="0"/>
        </w:rPr>
      </w:r>
    </w:p>
    <w:p w:rsidR="00000000" w:rsidDel="00000000" w:rsidP="00000000" w:rsidRDefault="00000000" w:rsidRPr="00000000" w14:paraId="0000004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3">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r w:rsidDel="00000000" w:rsidR="00000000" w:rsidRPr="00000000">
        <w:rPr>
          <w:rtl w:val="0"/>
        </w:rPr>
      </w:r>
    </w:p>
    <w:p w:rsidR="00000000" w:rsidDel="00000000" w:rsidP="00000000" w:rsidRDefault="00000000" w:rsidRPr="00000000" w14:paraId="00000044">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6"/>
          <w:numId w:val="3"/>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8">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9">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B">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bookmark=id.y2fjaq1mytnb" w:id="1"/>
    <w:bookmarkEnd w:id="1"/>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heading=h.gdwuq48ky6ib" w:id="2"/>
    <w:bookmarkEnd w:id="2"/>
    <w:r w:rsidDel="00000000" w:rsidR="00000000" w:rsidRPr="00000000">
      <w:rPr>
        <w:rFonts w:ascii="Calibri" w:cs="Calibri" w:eastAsia="Calibri" w:hAnsi="Calibri"/>
        <w:sz w:val="16"/>
        <w:szCs w:val="16"/>
        <w:rtl w:val="0"/>
      </w:rPr>
      <w:t xml:space="preserve">F-353, verze 7</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-892165</wp:posOffset>
          </wp:positionH>
          <wp:positionV relativeFrom="paragraph">
            <wp:posOffset>-441952</wp:posOffset>
          </wp:positionV>
          <wp:extent cx="1439545" cy="143954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4F">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50">
    <w:pPr>
      <w:tabs>
        <w:tab w:val="center" w:leader="none" w:pos="4536"/>
        <w:tab w:val="right" w:leader="none" w:pos="9072"/>
      </w:tabs>
      <w:spacing w:before="0"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decimal"/>
      <w:lvlText w:val="%1."/>
      <w:lvlJc w:val="left"/>
      <w:pPr>
        <w:ind w:left="360" w:hanging="360"/>
      </w:pPr>
      <w:rPr>
        <w:rFonts w:ascii="Open Sans" w:cs="Open Sans" w:eastAsia="Open Sans" w:hAnsi="Open Sans"/>
        <w:b w:val="1"/>
        <w:i w:val="0"/>
        <w:smallCaps w:val="0"/>
        <w:strike w:val="0"/>
        <w:sz w:val="20"/>
        <w:szCs w:val="2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
      </w:rPr>
    </w:rPrDefault>
    <w:pPrDefault>
      <w:pPr>
        <w:spacing w:before="12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280Nig7Rnd/ytD8Qs7Ueqdf/Nw==">CgMxLjAyDmlkLm5pZGtzdW9iMzUwMg9pZC55MmZqYXExbXl0bmIyDmguZ2R3dXE0OGt5NmliOAByITFvWTVOUkotNnYzaV9VSklkSE5VMmplVklNQzF0TTlqWQ==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